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730"/>
        </w:tabs>
        <w:jc w:val="center"/>
        <w:outlineLvl w:val="0"/>
        <w:rPr>
          <w:rFonts w:ascii="华文中宋" w:hAnsi="华文中宋" w:eastAsia="华文中宋"/>
          <w:b/>
          <w:sz w:val="36"/>
          <w:szCs w:val="36"/>
        </w:rPr>
      </w:pPr>
      <w:r>
        <w:rPr>
          <w:rFonts w:hint="eastAsia" w:ascii="华文中宋" w:hAnsi="华文中宋" w:eastAsia="华文中宋"/>
          <w:b/>
          <w:sz w:val="36"/>
          <w:szCs w:val="36"/>
        </w:rPr>
        <w:t>中国新闻奖媒体融合奖项参评作品推荐表</w:t>
      </w:r>
      <w:bookmarkStart w:id="0" w:name="附件3"/>
      <w:bookmarkEnd w:id="0"/>
    </w:p>
    <w:tbl>
      <w:tblPr>
        <w:tblStyle w:val="5"/>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01"/>
        <w:gridCol w:w="1273"/>
        <w:gridCol w:w="180"/>
        <w:gridCol w:w="1971"/>
        <w:gridCol w:w="90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790" w:hRule="exact"/>
          <w:jc w:val="center"/>
        </w:trPr>
        <w:tc>
          <w:tcPr>
            <w:tcW w:w="1818"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作品标题</w:t>
            </w:r>
          </w:p>
        </w:tc>
        <w:tc>
          <w:tcPr>
            <w:tcW w:w="3254" w:type="dxa"/>
            <w:gridSpan w:val="3"/>
            <w:tcBorders>
              <w:top w:val="single" w:color="auto" w:sz="4" w:space="0"/>
              <w:left w:val="single" w:color="auto" w:sz="4" w:space="0"/>
              <w:right w:val="single" w:color="auto" w:sz="4" w:space="0"/>
            </w:tcBorders>
            <w:vAlign w:val="center"/>
          </w:tcPr>
          <w:p>
            <w:pPr>
              <w:spacing w:line="380" w:lineRule="exact"/>
              <w:rPr>
                <w:rFonts w:ascii="仿宋" w:hAnsi="仿宋" w:eastAsia="仿宋"/>
                <w:sz w:val="24"/>
                <w:szCs w:val="24"/>
              </w:rPr>
            </w:pPr>
            <w:r>
              <w:rPr>
                <w:rFonts w:hint="eastAsia" w:ascii="仿宋" w:hAnsi="仿宋" w:eastAsia="仿宋"/>
                <w:sz w:val="24"/>
                <w:szCs w:val="24"/>
              </w:rPr>
              <w:t>“沂蒙精神 世代相传”系列融媒体报道</w:t>
            </w:r>
          </w:p>
        </w:tc>
        <w:tc>
          <w:tcPr>
            <w:tcW w:w="1971" w:type="dxa"/>
            <w:tcBorders>
              <w:top w:val="single" w:color="auto" w:sz="4" w:space="0"/>
              <w:left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参评项目</w:t>
            </w:r>
          </w:p>
        </w:tc>
        <w:tc>
          <w:tcPr>
            <w:tcW w:w="2476" w:type="dxa"/>
            <w:gridSpan w:val="2"/>
            <w:tcBorders>
              <w:top w:val="single" w:color="auto" w:sz="4" w:space="0"/>
              <w:left w:val="single" w:color="auto" w:sz="4" w:space="0"/>
              <w:right w:val="single" w:color="auto" w:sz="4" w:space="0"/>
            </w:tcBorders>
            <w:vAlign w:val="center"/>
          </w:tcPr>
          <w:p>
            <w:pPr>
              <w:spacing w:line="380" w:lineRule="exact"/>
              <w:rPr>
                <w:rFonts w:ascii="华文中宋" w:hAnsi="华文中宋" w:eastAsia="华文中宋"/>
                <w:sz w:val="28"/>
                <w:szCs w:val="28"/>
              </w:rPr>
            </w:pPr>
            <w:r>
              <w:rPr>
                <w:rFonts w:hint="eastAsia" w:ascii="仿宋" w:hAnsi="仿宋" w:eastAsia="仿宋"/>
                <w:sz w:val="24"/>
                <w:szCs w:val="24"/>
              </w:rPr>
              <w:t>融合创新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414" w:hRule="atLeast"/>
          <w:jc w:val="center"/>
        </w:trPr>
        <w:tc>
          <w:tcPr>
            <w:tcW w:w="1818" w:type="dxa"/>
            <w:vAlign w:val="center"/>
          </w:tcPr>
          <w:p>
            <w:pPr>
              <w:spacing w:line="320" w:lineRule="exact"/>
              <w:jc w:val="center"/>
              <w:rPr>
                <w:rFonts w:ascii="华文中宋" w:hAnsi="华文中宋" w:eastAsia="华文中宋"/>
                <w:sz w:val="28"/>
                <w:szCs w:val="28"/>
              </w:rPr>
            </w:pPr>
            <w:r>
              <w:rPr>
                <w:rFonts w:hint="eastAsia" w:ascii="华文中宋" w:hAnsi="华文中宋" w:eastAsia="华文中宋"/>
                <w:sz w:val="28"/>
                <w:szCs w:val="28"/>
              </w:rPr>
              <w:t>主创人员</w:t>
            </w:r>
          </w:p>
        </w:tc>
        <w:tc>
          <w:tcPr>
            <w:tcW w:w="7701" w:type="dxa"/>
            <w:gridSpan w:val="6"/>
            <w:tcBorders>
              <w:top w:val="single" w:color="auto" w:sz="4" w:space="0"/>
              <w:left w:val="single" w:color="auto" w:sz="4" w:space="0"/>
              <w:bottom w:val="single" w:color="auto" w:sz="4" w:space="0"/>
              <w:right w:val="single" w:color="auto" w:sz="4" w:space="0"/>
            </w:tcBorders>
            <w:vAlign w:val="center"/>
          </w:tcPr>
          <w:p>
            <w:pPr>
              <w:spacing w:line="380" w:lineRule="exact"/>
              <w:rPr>
                <w:rFonts w:hint="default" w:ascii="仿宋" w:hAnsi="仿宋" w:eastAsia="仿宋"/>
                <w:sz w:val="24"/>
                <w:szCs w:val="24"/>
                <w:lang w:val="en-US" w:eastAsia="zh-CN"/>
              </w:rPr>
            </w:pPr>
            <w:r>
              <w:rPr>
                <w:rFonts w:hint="eastAsia" w:ascii="仿宋" w:hAnsi="仿宋" w:eastAsia="仿宋"/>
                <w:sz w:val="24"/>
                <w:szCs w:val="24"/>
              </w:rPr>
              <w:t>刘赟 魏鹏 唐浩鑫 李龙淇</w:t>
            </w:r>
            <w:r>
              <w:rPr>
                <w:rFonts w:hint="eastAsia" w:ascii="仿宋" w:hAnsi="仿宋" w:eastAsia="仿宋"/>
                <w:sz w:val="24"/>
                <w:szCs w:val="24"/>
                <w:lang w:val="en-US" w:eastAsia="zh-CN"/>
              </w:rPr>
              <w:t xml:space="preserve"> 刘广岩 徐鑫 张勇 王亚辉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414" w:hRule="atLeast"/>
          <w:jc w:val="center"/>
        </w:trPr>
        <w:tc>
          <w:tcPr>
            <w:tcW w:w="1818" w:type="dxa"/>
            <w:vAlign w:val="center"/>
          </w:tcPr>
          <w:p>
            <w:pPr>
              <w:spacing w:line="32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7701" w:type="dxa"/>
            <w:gridSpan w:val="6"/>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仿宋" w:hAnsi="仿宋" w:eastAsia="仿宋"/>
                <w:sz w:val="24"/>
                <w:szCs w:val="24"/>
              </w:rPr>
            </w:pPr>
            <w:r>
              <w:rPr>
                <w:rFonts w:hint="eastAsia" w:ascii="仿宋" w:hAnsi="仿宋" w:eastAsia="仿宋"/>
                <w:sz w:val="24"/>
                <w:szCs w:val="24"/>
              </w:rPr>
              <w:t>赫洋 高娜 孙翔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799" w:hRule="exact"/>
          <w:jc w:val="center"/>
        </w:trPr>
        <w:tc>
          <w:tcPr>
            <w:tcW w:w="1818" w:type="dxa"/>
            <w:vAlign w:val="center"/>
          </w:tcPr>
          <w:p>
            <w:pPr>
              <w:spacing w:line="380" w:lineRule="exact"/>
              <w:jc w:val="center"/>
              <w:rPr>
                <w:rFonts w:ascii="华文中宋" w:hAnsi="华文中宋" w:eastAsia="华文中宋"/>
                <w:sz w:val="28"/>
                <w:szCs w:val="28"/>
                <w:highlight w:val="yellow"/>
              </w:rPr>
            </w:pPr>
            <w:r>
              <w:rPr>
                <w:rFonts w:hint="eastAsia" w:ascii="华文中宋" w:hAnsi="华文中宋" w:eastAsia="华文中宋"/>
                <w:sz w:val="28"/>
                <w:szCs w:val="28"/>
              </w:rPr>
              <w:t>主管单位</w:t>
            </w:r>
          </w:p>
        </w:tc>
        <w:tc>
          <w:tcPr>
            <w:tcW w:w="3254"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仿宋" w:hAnsi="仿宋" w:eastAsia="仿宋"/>
                <w:sz w:val="24"/>
                <w:szCs w:val="24"/>
              </w:rPr>
            </w:pPr>
            <w:r>
              <w:rPr>
                <w:rFonts w:hint="eastAsia" w:ascii="仿宋" w:hAnsi="仿宋" w:eastAsia="仿宋"/>
                <w:sz w:val="24"/>
                <w:szCs w:val="24"/>
              </w:rPr>
              <w:t>山东省互联网传媒集团</w:t>
            </w:r>
          </w:p>
        </w:tc>
        <w:tc>
          <w:tcPr>
            <w:tcW w:w="197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发布日期及</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时间</w:t>
            </w:r>
          </w:p>
        </w:tc>
        <w:tc>
          <w:tcPr>
            <w:tcW w:w="247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019</w:t>
            </w:r>
            <w:r>
              <w:rPr>
                <w:rFonts w:hint="eastAsia" w:ascii="仿宋" w:hAnsi="仿宋" w:eastAsia="仿宋"/>
                <w:sz w:val="24"/>
                <w:szCs w:val="24"/>
              </w:rPr>
              <w:t>年9月1</w:t>
            </w:r>
            <w:r>
              <w:rPr>
                <w:rFonts w:ascii="仿宋" w:hAnsi="仿宋" w:eastAsia="仿宋"/>
                <w:sz w:val="24"/>
                <w:szCs w:val="24"/>
              </w:rPr>
              <w:t>9</w:t>
            </w:r>
            <w:r>
              <w:rPr>
                <w:rFonts w:hint="eastAsia" w:ascii="仿宋" w:hAnsi="仿宋" w:eastAsia="仿宋"/>
                <w:sz w:val="24"/>
                <w:szCs w:val="24"/>
              </w:rPr>
              <w:t>日</w:t>
            </w:r>
            <w:r>
              <w:rPr>
                <w:rFonts w:ascii="仿宋" w:hAnsi="仿宋" w:eastAsia="仿宋"/>
                <w:sz w:val="24"/>
                <w:szCs w:val="24"/>
              </w:rPr>
              <w:t>—12</w:t>
            </w:r>
            <w:r>
              <w:rPr>
                <w:rFonts w:hint="eastAsia" w:ascii="仿宋" w:hAnsi="仿宋" w:eastAsia="仿宋"/>
                <w:sz w:val="24"/>
                <w:szCs w:val="24"/>
              </w:rPr>
              <w:t>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562" w:hRule="exact"/>
          <w:jc w:val="center"/>
        </w:trPr>
        <w:tc>
          <w:tcPr>
            <w:tcW w:w="1818"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54"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both"/>
              <w:rPr>
                <w:rFonts w:ascii="仿宋" w:hAnsi="仿宋" w:eastAsia="仿宋"/>
                <w:sz w:val="24"/>
                <w:szCs w:val="24"/>
              </w:rPr>
            </w:pPr>
            <w:r>
              <w:rPr>
                <w:rFonts w:hint="eastAsia" w:ascii="仿宋" w:hAnsi="仿宋" w:eastAsia="仿宋"/>
                <w:sz w:val="24"/>
                <w:szCs w:val="24"/>
              </w:rPr>
              <w:t>海报新闻客户端</w:t>
            </w:r>
          </w:p>
        </w:tc>
        <w:tc>
          <w:tcPr>
            <w:tcW w:w="197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作品时长</w:t>
            </w:r>
          </w:p>
        </w:tc>
        <w:tc>
          <w:tcPr>
            <w:tcW w:w="247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804" w:hRule="exact"/>
          <w:jc w:val="center"/>
        </w:trPr>
        <w:tc>
          <w:tcPr>
            <w:tcW w:w="1818"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采编过程</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（作品简介）</w:t>
            </w:r>
          </w:p>
        </w:tc>
        <w:tc>
          <w:tcPr>
            <w:tcW w:w="7701" w:type="dxa"/>
            <w:gridSpan w:val="6"/>
            <w:tcBorders>
              <w:top w:val="single" w:color="auto" w:sz="4" w:space="0"/>
              <w:left w:val="single" w:color="auto" w:sz="4" w:space="0"/>
              <w:bottom w:val="single" w:color="auto" w:sz="4" w:space="0"/>
              <w:right w:val="single" w:color="auto" w:sz="4" w:space="0"/>
            </w:tcBorders>
            <w:vAlign w:val="center"/>
          </w:tcPr>
          <w:p>
            <w:pPr>
              <w:pStyle w:val="4"/>
              <w:spacing w:before="225" w:beforeAutospacing="0" w:after="225" w:afterAutospacing="0" w:line="390" w:lineRule="atLeast"/>
              <w:ind w:firstLine="480" w:firstLineChars="200"/>
              <w:rPr>
                <w:rFonts w:ascii="仿宋_GB2312" w:eastAsia="仿宋_GB2312"/>
              </w:rPr>
            </w:pPr>
            <w:r>
              <w:rPr>
                <w:rFonts w:hint="eastAsia" w:ascii="仿宋_GB2312" w:eastAsia="仿宋_GB2312"/>
              </w:rPr>
              <w:t>2</w:t>
            </w:r>
            <w:r>
              <w:rPr>
                <w:rFonts w:ascii="仿宋_GB2312" w:eastAsia="仿宋_GB2312"/>
              </w:rPr>
              <w:t>018</w:t>
            </w:r>
            <w:r>
              <w:rPr>
                <w:rFonts w:hint="eastAsia" w:ascii="仿宋_GB2312" w:eastAsia="仿宋_GB2312"/>
              </w:rPr>
              <w:t>年12月31日，习近平总书记就大众日报创刊80周年作出重要批示，强调要大力弘扬沂蒙精神。对于根植沂蒙山，具有与生俱来红色基因的大众报人来</w:t>
            </w:r>
            <w:r>
              <w:rPr>
                <w:rFonts w:hint="eastAsia" w:ascii="仿宋_GB2312" w:eastAsia="仿宋_GB2312"/>
                <w:b w:val="0"/>
                <w:bCs w:val="0"/>
              </w:rPr>
              <w:t>说，策划推</w:t>
            </w:r>
            <w:r>
              <w:rPr>
                <w:rFonts w:hint="eastAsia" w:ascii="仿宋_GB2312" w:eastAsia="仿宋_GB2312"/>
              </w:rPr>
              <w:t>出“沂蒙精神 世代相传”系列融媒体报道，既是贯彻落实总书记批示精神的职责使命，也是对沂蒙人民、革命历史的致敬、致礼，是绿叶对根的回报。2</w:t>
            </w:r>
            <w:r>
              <w:rPr>
                <w:rFonts w:ascii="仿宋_GB2312" w:eastAsia="仿宋_GB2312"/>
              </w:rPr>
              <w:t>019</w:t>
            </w:r>
            <w:r>
              <w:rPr>
                <w:rFonts w:hint="eastAsia" w:ascii="仿宋_GB2312" w:eastAsia="仿宋_GB2312"/>
              </w:rPr>
              <w:t>年4月至9</w:t>
            </w:r>
            <w:r>
              <w:rPr>
                <w:rFonts w:ascii="仿宋_GB2312" w:eastAsia="仿宋_GB2312"/>
              </w:rPr>
              <w:t xml:space="preserve"> </w:t>
            </w:r>
            <w:r>
              <w:rPr>
                <w:rFonts w:hint="eastAsia" w:ascii="仿宋_GB2312" w:eastAsia="仿宋_GB2312"/>
              </w:rPr>
              <w:t>月，大众网·海报新闻策划团队先后三次赴临沂采访取景，深入兰陵、沂水、平邑、费县等6个县区，完成了对九间棚、沂蒙红色影视基地、沂蒙红嫂纪念馆、临沂商城等地的拍摄工作；首次独家采访了鲁南平邑一区担架队“担架英雄”高启文的儿子高开芹，在“沂蒙母亲”王换于故居取景，采访了她的孙女于爱梅，并对弘扬新时期沂蒙精神的典型人物王传喜、张淑琴进行了视频专访，对一个个感人的故事进行了生动的挖掘。</w:t>
            </w:r>
          </w:p>
          <w:p>
            <w:pPr>
              <w:pStyle w:val="4"/>
              <w:spacing w:before="225" w:beforeAutospacing="0" w:after="225" w:afterAutospacing="0" w:line="390" w:lineRule="atLeast"/>
              <w:ind w:firstLine="480" w:firstLineChars="200"/>
              <w:rPr>
                <w:rFonts w:ascii="仿宋_GB2312" w:eastAsia="仿宋_GB2312"/>
              </w:rPr>
            </w:pPr>
            <w:r>
              <w:rPr>
                <w:rFonts w:hint="eastAsia" w:ascii="仿宋_GB2312" w:eastAsia="仿宋_GB2312"/>
              </w:rPr>
              <w:t>采拍结束后，大众网·海报新闻组织了十几人次的力量，对大量素材进行遴选、剪辑、设计、制作和程序开发，按最高标准、最美呈现、最强互动的要求推出了“水乳交融沂蒙情”“沂蒙深处有人家”“红色文化动人心”“沂蒙山区好风光”“绿叶对根的情意”“沂蒙商业变奏曲”六期H</w:t>
            </w:r>
            <w:r>
              <w:rPr>
                <w:rFonts w:ascii="仿宋_GB2312" w:eastAsia="仿宋_GB2312"/>
              </w:rPr>
              <w:t>5</w:t>
            </w:r>
            <w:r>
              <w:rPr>
                <w:rFonts w:hint="eastAsia" w:ascii="仿宋_GB2312" w:eastAsia="仿宋_GB2312"/>
              </w:rPr>
              <w:t>产品，涵盖文化、教育、农业、商业等方面，讲述了各个时期践行沂蒙精神的伟大实践，不断赋予其新的时代内涵，使之历久弥新、永葆活力、世代相传！</w:t>
            </w:r>
          </w:p>
          <w:p>
            <w:pPr>
              <w:pStyle w:val="4"/>
              <w:spacing w:before="225" w:beforeAutospacing="0" w:after="225" w:afterAutospacing="0" w:line="390" w:lineRule="atLeast"/>
              <w:ind w:firstLine="480" w:firstLineChars="200"/>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090" w:hRule="exact"/>
          <w:jc w:val="center"/>
        </w:trPr>
        <w:tc>
          <w:tcPr>
            <w:tcW w:w="1818"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社会效果</w:t>
            </w:r>
          </w:p>
        </w:tc>
        <w:tc>
          <w:tcPr>
            <w:tcW w:w="7701" w:type="dxa"/>
            <w:gridSpan w:val="6"/>
            <w:tcBorders>
              <w:top w:val="single" w:color="auto" w:sz="4" w:space="0"/>
              <w:left w:val="single" w:color="auto" w:sz="4" w:space="0"/>
              <w:bottom w:val="single" w:color="auto" w:sz="4" w:space="0"/>
              <w:right w:val="single" w:color="auto" w:sz="4" w:space="0"/>
            </w:tcBorders>
            <w:vAlign w:val="center"/>
          </w:tcPr>
          <w:p>
            <w:pPr>
              <w:pStyle w:val="4"/>
              <w:spacing w:before="225" w:beforeAutospacing="0" w:after="225" w:afterAutospacing="0" w:line="390" w:lineRule="atLeast"/>
              <w:ind w:firstLine="480" w:firstLineChars="20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六期产品自9月份陆续推出后，因呈现形式新、互动创意强、内容立意广的特点，受到了广大网友和业内外专家学者的一致好评，在朋友圈等社交平台屡创刷屏之势，各大网站广泛转载传播，《网络传播杂志》微信公众号登载推荐，网友在微信、客户端等平台纷纷留言点赞！</w:t>
            </w:r>
          </w:p>
          <w:p>
            <w:pPr>
              <w:pStyle w:val="4"/>
              <w:spacing w:before="225" w:beforeAutospacing="0" w:after="225" w:afterAutospacing="0" w:line="390" w:lineRule="atLeast"/>
              <w:ind w:firstLine="480" w:firstLineChars="20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系列产品根据报道角度创新使用了多种呈现和互动新技术，“水乳交融沂蒙情”产品以全彩手绘呈现，穿插横向交互，“红色文化动人心”产品以剧幕为设计元素，设置了观影猜场景的互动游戏，“沂蒙山区好风光”产品以拟人化的手绘视频表达方式呈现水利工程治理前后的巨变，“沂蒙商业变奏曲”通过手绘、问答、视频等交互手段擘画商城发展历史画卷。</w:t>
            </w:r>
          </w:p>
          <w:p>
            <w:pPr>
              <w:pStyle w:val="4"/>
              <w:spacing w:before="225" w:beforeAutospacing="0" w:after="225" w:afterAutospacing="0" w:line="390" w:lineRule="atLeast"/>
              <w:ind w:firstLine="480" w:firstLineChars="20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在实现创意互动的同时，注重运用新旧照片、视频片段的对比展示时代变迁。“沂蒙深处有人家”产品中首次在网络公开展示了“陈毅担架队”队员金颜元演唱颂扬高启文的歌曲，“绿叶对根的情意”产品中展示了当时为发展教育兴办“识字班”的照片。</w:t>
            </w:r>
          </w:p>
          <w:p>
            <w:pPr>
              <w:pStyle w:val="4"/>
              <w:spacing w:before="225" w:beforeAutospacing="0" w:after="225" w:afterAutospacing="0" w:line="390" w:lineRule="atLeast"/>
              <w:ind w:firstLine="480" w:firstLineChars="20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系列产品因立意独特的内容和颇具创意的互动赢得了各界一致点赞，近80万人次点击阅读，让读者们把沂蒙精神作为践行党的群众路线的精神之源和力量之源，广为传颂！</w:t>
            </w: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p>
            <w:pPr>
              <w:ind w:firstLine="480" w:firstLineChars="200"/>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413" w:hRule="exact"/>
          <w:jc w:val="center"/>
        </w:trPr>
        <w:tc>
          <w:tcPr>
            <w:tcW w:w="1818"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推荐理由</w:t>
            </w:r>
          </w:p>
        </w:tc>
        <w:tc>
          <w:tcPr>
            <w:tcW w:w="7701" w:type="dxa"/>
            <w:gridSpan w:val="6"/>
            <w:tcBorders>
              <w:top w:val="single" w:color="auto" w:sz="4" w:space="0"/>
              <w:left w:val="single" w:color="auto" w:sz="4" w:space="0"/>
              <w:bottom w:val="single" w:color="auto" w:sz="4" w:space="0"/>
              <w:right w:val="single" w:color="auto" w:sz="4" w:space="0"/>
            </w:tcBorders>
          </w:tcPr>
          <w:p>
            <w:pPr>
              <w:spacing w:line="380" w:lineRule="exact"/>
              <w:ind w:firstLine="480" w:firstLineChars="200"/>
              <w:jc w:val="left"/>
              <w:rPr>
                <w:rFonts w:ascii="仿宋" w:hAnsi="仿宋" w:eastAsia="仿宋"/>
                <w:sz w:val="24"/>
                <w:szCs w:val="24"/>
              </w:rPr>
            </w:pPr>
            <w:r>
              <w:rPr>
                <w:rFonts w:hint="eastAsia" w:ascii="仿宋" w:hAnsi="仿宋" w:eastAsia="仿宋"/>
                <w:sz w:val="24"/>
                <w:szCs w:val="24"/>
              </w:rPr>
              <w:t>作为庆祝新中国成立7</w:t>
            </w:r>
            <w:r>
              <w:rPr>
                <w:rFonts w:ascii="仿宋" w:hAnsi="仿宋" w:eastAsia="仿宋"/>
                <w:sz w:val="24"/>
                <w:szCs w:val="24"/>
              </w:rPr>
              <w:t>0</w:t>
            </w:r>
            <w:r>
              <w:rPr>
                <w:rFonts w:hint="eastAsia" w:ascii="仿宋" w:hAnsi="仿宋" w:eastAsia="仿宋"/>
                <w:sz w:val="24"/>
                <w:szCs w:val="24"/>
              </w:rPr>
              <w:t>周年系列重磅策划产品，该组报道用丰富的内容、多样的形式、新颖的视角，将“沂蒙精神 世代相传”这一主题诠释的淋漓尽致，以新思路、新技术打造出了沂蒙精神宣传主题报道的新标杆，也为融合创新呈现趟出了一条卓有成效的路子，体现了网媒集团在新媒体主战场上重大主题新闻产品的矩阵化生产能力与新技术应用的创新力。</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签名：                          （盖单位公章）</w:t>
            </w:r>
          </w:p>
          <w:p>
            <w:pPr>
              <w:spacing w:line="380" w:lineRule="exact"/>
              <w:jc w:val="center"/>
              <w:rPr>
                <w:rFonts w:ascii="仿宋_GB2312" w:eastAsia="仿宋_GB2312"/>
                <w:sz w:val="28"/>
              </w:rPr>
            </w:pPr>
            <w:r>
              <w:rPr>
                <w:rFonts w:hint="eastAsia" w:ascii="华文中宋" w:hAnsi="华文中宋" w:eastAsia="华文中宋"/>
                <w:sz w:val="28"/>
                <w:szCs w:val="28"/>
              </w:rPr>
              <w:t xml:space="preserve">                              </w:t>
            </w:r>
            <w:bookmarkStart w:id="1" w:name="_GoBack"/>
            <w:bookmarkEnd w:id="1"/>
            <w:r>
              <w:rPr>
                <w:rFonts w:hint="eastAsia" w:ascii="华文中宋" w:hAnsi="华文中宋" w:eastAsia="华文中宋"/>
                <w:sz w:val="28"/>
                <w:szCs w:val="28"/>
              </w:rPr>
              <w:t xml:space="preserve"> </w:t>
            </w:r>
            <w:r>
              <w:rPr>
                <w:rFonts w:ascii="华文中宋" w:hAnsi="华文中宋" w:eastAsia="华文中宋"/>
                <w:sz w:val="28"/>
                <w:szCs w:val="28"/>
              </w:rPr>
              <w:t>20</w:t>
            </w:r>
            <w:r>
              <w:rPr>
                <w:rFonts w:hint="eastAsia" w:ascii="华文中宋" w:hAnsi="华文中宋" w:eastAsia="华文中宋"/>
                <w:sz w:val="28"/>
                <w:szCs w:val="28"/>
              </w:rPr>
              <w:t>20</w:t>
            </w:r>
            <w:r>
              <w:rPr>
                <w:rFonts w:ascii="华文中宋" w:hAnsi="华文中宋" w:eastAsia="华文中宋"/>
                <w:sz w:val="28"/>
                <w:szCs w:val="28"/>
              </w:rPr>
              <w:t xml:space="preserve">年  </w:t>
            </w:r>
            <w:r>
              <w:rPr>
                <w:rFonts w:hint="eastAsia" w:ascii="华文中宋" w:hAnsi="华文中宋" w:eastAsia="华文中宋"/>
                <w:sz w:val="28"/>
                <w:szCs w:val="28"/>
              </w:rPr>
              <w:t>月</w:t>
            </w:r>
            <w:r>
              <w:rPr>
                <w:rFonts w:ascii="华文中宋" w:hAnsi="华文中宋" w:eastAsia="华文中宋"/>
                <w:sz w:val="28"/>
                <w:szCs w:val="28"/>
              </w:rPr>
              <w:t xml:space="preserve">  </w:t>
            </w:r>
            <w:r>
              <w:rPr>
                <w:rFonts w:hint="eastAsia" w:ascii="华文中宋" w:hAnsi="华文中宋" w:eastAsia="华文中宋"/>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auto"/>
          <w:cantSplit/>
          <w:trHeight w:val="530" w:hRule="exact"/>
          <w:jc w:val="center"/>
        </w:trPr>
        <w:tc>
          <w:tcPr>
            <w:tcW w:w="1818"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联系人</w:t>
            </w:r>
          </w:p>
        </w:tc>
        <w:tc>
          <w:tcPr>
            <w:tcW w:w="18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sz w:val="24"/>
                <w:szCs w:val="24"/>
              </w:rPr>
            </w:pPr>
            <w:r>
              <w:rPr>
                <w:rFonts w:hint="eastAsia" w:ascii="仿宋" w:hAnsi="仿宋" w:eastAsia="仿宋"/>
                <w:sz w:val="24"/>
                <w:szCs w:val="24"/>
              </w:rPr>
              <w:t>刘赟</w:t>
            </w:r>
          </w:p>
        </w:tc>
        <w:tc>
          <w:tcPr>
            <w:tcW w:w="1273"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邮箱</w:t>
            </w:r>
          </w:p>
        </w:tc>
        <w:tc>
          <w:tcPr>
            <w:tcW w:w="215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5672937</w:t>
            </w:r>
            <w:r>
              <w:rPr>
                <w:rFonts w:hint="eastAsia" w:ascii="仿宋" w:hAnsi="仿宋" w:eastAsia="仿宋"/>
                <w:sz w:val="24"/>
                <w:szCs w:val="24"/>
              </w:rPr>
              <w:t>@</w:t>
            </w:r>
            <w:r>
              <w:rPr>
                <w:rFonts w:ascii="仿宋" w:hAnsi="仿宋" w:eastAsia="仿宋"/>
                <w:sz w:val="24"/>
                <w:szCs w:val="24"/>
              </w:rPr>
              <w:t>qq.com</w:t>
            </w:r>
          </w:p>
        </w:tc>
        <w:tc>
          <w:tcPr>
            <w:tcW w:w="902"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手机</w:t>
            </w:r>
          </w:p>
        </w:tc>
        <w:tc>
          <w:tcPr>
            <w:tcW w:w="15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3964100171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auto"/>
          <w:cantSplit/>
          <w:trHeight w:val="514" w:hRule="exact"/>
          <w:jc w:val="center"/>
        </w:trPr>
        <w:tc>
          <w:tcPr>
            <w:tcW w:w="1818" w:type="dxa"/>
            <w:tcBorders>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地址</w:t>
            </w:r>
          </w:p>
        </w:tc>
        <w:tc>
          <w:tcPr>
            <w:tcW w:w="522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sz w:val="24"/>
                <w:szCs w:val="24"/>
              </w:rPr>
            </w:pPr>
            <w:r>
              <w:rPr>
                <w:rFonts w:hint="eastAsia" w:ascii="仿宋" w:hAnsi="仿宋" w:eastAsia="仿宋"/>
                <w:sz w:val="24"/>
                <w:szCs w:val="24"/>
              </w:rPr>
              <w:t>山东济南市泺源大街2号大众传媒大厦</w:t>
            </w:r>
          </w:p>
        </w:tc>
        <w:tc>
          <w:tcPr>
            <w:tcW w:w="902" w:type="dxa"/>
            <w:tcBorders>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邮编</w:t>
            </w:r>
          </w:p>
        </w:tc>
        <w:tc>
          <w:tcPr>
            <w:tcW w:w="1574"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sz w:val="24"/>
                <w:szCs w:val="24"/>
              </w:rPr>
            </w:pPr>
            <w:r>
              <w:rPr>
                <w:rFonts w:hint="eastAsia" w:ascii="仿宋" w:hAnsi="仿宋" w:eastAsia="仿宋"/>
                <w:sz w:val="24"/>
                <w:szCs w:val="24"/>
              </w:rPr>
              <w:t>250011</w:t>
            </w:r>
          </w:p>
        </w:tc>
      </w:tr>
    </w:tbl>
    <w:p>
      <w:pPr>
        <w:keepNext w:val="0"/>
        <w:keepLines w:val="0"/>
        <w:pageBreakBefore w:val="0"/>
        <w:widowControl/>
        <w:kinsoku/>
        <w:wordWrap/>
        <w:overflowPunct/>
        <w:topLinePunct w:val="0"/>
        <w:autoSpaceDE/>
        <w:autoSpaceDN/>
        <w:bidi w:val="0"/>
        <w:adjustRightInd/>
        <w:snapToGrid/>
        <w:jc w:val="left"/>
        <w:textAlignment w:val="auto"/>
        <w:rPr>
          <w:rFonts w:ascii="楷体" w:hAnsi="楷体" w:eastAsia="楷体"/>
          <w:b/>
          <w:sz w:val="30"/>
          <w:szCs w:val="30"/>
        </w:rPr>
      </w:pPr>
    </w:p>
    <w:p>
      <w:pPr>
        <w:widowControl/>
        <w:jc w:val="left"/>
        <w:rPr>
          <w:rFonts w:ascii="楷体" w:hAnsi="楷体" w:eastAsia="楷体"/>
          <w:b/>
          <w:sz w:val="30"/>
          <w:szCs w:val="30"/>
        </w:rPr>
      </w:pPr>
    </w:p>
    <w:p/>
    <w:p>
      <w:pPr>
        <w:ind w:firstLine="560"/>
        <w:jc w:val="center"/>
        <w:rPr>
          <w:rFonts w:ascii="方正大标宋简体" w:hAnsi="方正大标宋简体" w:eastAsia="方正大标宋简体" w:cs="方正大标宋简体"/>
          <w:sz w:val="28"/>
          <w:szCs w:val="28"/>
        </w:rPr>
      </w:pPr>
      <w:r>
        <w:rPr>
          <w:rFonts w:hint="eastAsia" w:ascii="方正大标宋简体" w:hAnsi="方正大标宋简体" w:eastAsia="方正大标宋简体" w:cs="方正大标宋简体"/>
          <w:sz w:val="28"/>
          <w:szCs w:val="28"/>
        </w:rPr>
        <w:t>“沂蒙精神 世代相传”系列融媒体报道</w:t>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产品二维码</w:t>
      </w:r>
    </w:p>
    <w:p>
      <w:pPr>
        <w:ind w:firstLine="560"/>
        <w:jc w:val="center"/>
        <w:rPr>
          <w:rFonts w:ascii="仿宋" w:hAnsi="仿宋" w:eastAsia="仿宋" w:cs="仿宋"/>
          <w:b/>
          <w:bCs/>
          <w:color w:val="000000"/>
          <w:kern w:val="0"/>
          <w:sz w:val="30"/>
          <w:szCs w:val="30"/>
          <w:lang w:bidi="ar"/>
        </w:rPr>
      </w:pPr>
      <w:r>
        <w:drawing>
          <wp:inline distT="0" distB="0" distL="0" distR="0">
            <wp:extent cx="2095500"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095500" cy="2095500"/>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汇总页面</w:t>
      </w:r>
    </w:p>
    <w:p>
      <w:pPr>
        <w:ind w:firstLine="560"/>
        <w:jc w:val="center"/>
        <w:rPr>
          <w:rFonts w:ascii="仿宋" w:hAnsi="仿宋" w:eastAsia="仿宋" w:cs="仿宋"/>
          <w:b/>
          <w:bCs/>
          <w:color w:val="000000"/>
          <w:kern w:val="0"/>
          <w:sz w:val="30"/>
          <w:szCs w:val="30"/>
          <w:lang w:bidi="ar"/>
        </w:rPr>
      </w:pPr>
      <w:r>
        <w:drawing>
          <wp:inline distT="0" distB="0" distL="0" distR="0">
            <wp:extent cx="1876425" cy="18764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876425" cy="1876425"/>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第一期《水乳交融沂蒙情》</w:t>
      </w:r>
    </w:p>
    <w:p>
      <w:pPr>
        <w:ind w:firstLine="560"/>
        <w:jc w:val="center"/>
        <w:rPr>
          <w:rFonts w:ascii="仿宋" w:hAnsi="仿宋" w:eastAsia="仿宋" w:cs="仿宋"/>
          <w:b/>
          <w:bCs/>
          <w:color w:val="000000"/>
          <w:kern w:val="0"/>
          <w:sz w:val="30"/>
          <w:szCs w:val="30"/>
          <w:lang w:bidi="ar"/>
        </w:rPr>
      </w:pPr>
      <w:r>
        <w:drawing>
          <wp:inline distT="0" distB="0" distL="0" distR="0">
            <wp:extent cx="1600200" cy="1600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00200" cy="1600200"/>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第二期《沂蒙深处有人家》</w:t>
      </w:r>
    </w:p>
    <w:p>
      <w:pPr>
        <w:ind w:firstLine="560"/>
        <w:jc w:val="center"/>
        <w:rPr>
          <w:rFonts w:ascii="仿宋" w:hAnsi="仿宋" w:eastAsia="仿宋" w:cs="仿宋"/>
          <w:b/>
          <w:bCs/>
          <w:color w:val="000000"/>
          <w:kern w:val="0"/>
          <w:sz w:val="30"/>
          <w:szCs w:val="30"/>
          <w:lang w:bidi="ar"/>
        </w:rPr>
      </w:pPr>
      <w:r>
        <w:drawing>
          <wp:inline distT="0" distB="0" distL="0" distR="0">
            <wp:extent cx="1666875" cy="1666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66875" cy="1666875"/>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第三期《红色文化动人心》</w:t>
      </w:r>
    </w:p>
    <w:p>
      <w:pPr>
        <w:ind w:firstLine="560"/>
        <w:jc w:val="center"/>
        <w:rPr>
          <w:rFonts w:ascii="仿宋" w:hAnsi="仿宋" w:eastAsia="仿宋" w:cs="仿宋"/>
          <w:b/>
          <w:bCs/>
          <w:color w:val="000000"/>
          <w:kern w:val="0"/>
          <w:sz w:val="30"/>
          <w:szCs w:val="30"/>
          <w:lang w:bidi="ar"/>
        </w:rPr>
      </w:pPr>
      <w:r>
        <w:drawing>
          <wp:inline distT="0" distB="0" distL="0" distR="0">
            <wp:extent cx="1714500" cy="1714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14500" cy="1714500"/>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第四期《沂蒙山区好风光》</w:t>
      </w:r>
    </w:p>
    <w:p>
      <w:pPr>
        <w:ind w:firstLine="560"/>
        <w:jc w:val="center"/>
        <w:rPr>
          <w:rFonts w:ascii="仿宋" w:hAnsi="仿宋" w:eastAsia="仿宋" w:cs="仿宋"/>
          <w:b/>
          <w:bCs/>
          <w:color w:val="000000"/>
          <w:kern w:val="0"/>
          <w:sz w:val="30"/>
          <w:szCs w:val="30"/>
          <w:lang w:bidi="ar"/>
        </w:rPr>
      </w:pPr>
      <w:r>
        <w:drawing>
          <wp:inline distT="0" distB="0" distL="0" distR="0">
            <wp:extent cx="1619250" cy="16192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1619250"/>
                    </a:xfrm>
                    <a:prstGeom prst="rect">
                      <a:avLst/>
                    </a:prstGeom>
                    <a:noFill/>
                    <a:ln>
                      <a:noFill/>
                    </a:ln>
                  </pic:spPr>
                </pic:pic>
              </a:graphicData>
            </a:graphic>
          </wp:inline>
        </w:drawing>
      </w:r>
    </w:p>
    <w:p>
      <w:pPr>
        <w:ind w:firstLine="560"/>
        <w:jc w:val="center"/>
        <w:rPr>
          <w:rFonts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第五期《绿叶对根的情意》</w:t>
      </w:r>
    </w:p>
    <w:p>
      <w:pPr>
        <w:ind w:firstLine="560"/>
        <w:jc w:val="center"/>
        <w:rPr>
          <w:rFonts w:ascii="仿宋" w:hAnsi="仿宋" w:eastAsia="仿宋" w:cs="仿宋"/>
          <w:b/>
          <w:bCs/>
          <w:color w:val="000000"/>
          <w:kern w:val="0"/>
          <w:sz w:val="30"/>
          <w:szCs w:val="30"/>
          <w:lang w:bidi="ar"/>
        </w:rPr>
      </w:pPr>
      <w:r>
        <w:drawing>
          <wp:inline distT="0" distB="0" distL="0" distR="0">
            <wp:extent cx="1590675" cy="15906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590675" cy="1590675"/>
                    </a:xfrm>
                    <a:prstGeom prst="rect">
                      <a:avLst/>
                    </a:prstGeom>
                    <a:noFill/>
                    <a:ln>
                      <a:noFill/>
                    </a:ln>
                  </pic:spPr>
                </pic:pic>
              </a:graphicData>
            </a:graphic>
          </wp:inline>
        </w:drawing>
      </w:r>
    </w:p>
    <w:p>
      <w:pPr>
        <w:ind w:firstLine="560"/>
        <w:jc w:val="center"/>
        <w:rPr>
          <w:rFonts w:hint="eastAsia" w:ascii="仿宋" w:hAnsi="仿宋" w:eastAsia="仿宋" w:cs="仿宋"/>
          <w:b/>
          <w:bCs/>
          <w:color w:val="000000"/>
          <w:kern w:val="0"/>
          <w:sz w:val="30"/>
          <w:szCs w:val="30"/>
          <w:lang w:bidi="ar"/>
        </w:rPr>
      </w:pPr>
      <w:r>
        <w:rPr>
          <w:rFonts w:hint="eastAsia" w:ascii="仿宋" w:hAnsi="仿宋" w:eastAsia="仿宋" w:cs="仿宋"/>
          <w:b/>
          <w:bCs/>
          <w:color w:val="000000"/>
          <w:kern w:val="0"/>
          <w:sz w:val="30"/>
          <w:szCs w:val="30"/>
          <w:lang w:bidi="ar"/>
        </w:rPr>
        <w:t>第六期《沂蒙商业变奏曲》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A4"/>
    <w:rsid w:val="00027107"/>
    <w:rsid w:val="001B2DA4"/>
    <w:rsid w:val="002068D3"/>
    <w:rsid w:val="003A1936"/>
    <w:rsid w:val="005644BF"/>
    <w:rsid w:val="0079137A"/>
    <w:rsid w:val="00854406"/>
    <w:rsid w:val="008F278B"/>
    <w:rsid w:val="00BA67AE"/>
    <w:rsid w:val="00C87DDB"/>
    <w:rsid w:val="21C848B3"/>
    <w:rsid w:val="433C21B2"/>
    <w:rsid w:val="49814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265</Words>
  <Characters>1517</Characters>
  <Lines>12</Lines>
  <Paragraphs>3</Paragraphs>
  <TotalTime>17</TotalTime>
  <ScaleCrop>false</ScaleCrop>
  <LinksUpToDate>false</LinksUpToDate>
  <CharactersWithSpaces>1779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2020-04-29T10:08:00Z</dcterms:created>
  <dc:creator>12728</dc:creator>
  <cp:lastModifiedBy>了不起的张小黑</cp:lastModifiedBy>
  <dcterms:modified xsi:type="dcterms:W3CDTF">2020-04-30T01:34:38Z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